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aa3776c66b281864faeccd268a2cc837495acee"/>
    <w:p>
      <w:pPr>
        <w:pStyle w:val="Heading1"/>
      </w:pPr>
      <w:r>
        <w:t xml:space="preserve">The Operation Citizen Spine &amp; Constitutional-Audit Methodology</w:t>
      </w:r>
    </w:p>
    <w:p>
      <w:pPr>
        <w:pStyle w:val="FirstParagraph"/>
      </w:pPr>
      <w:r>
        <w:rPr>
          <w:iCs/>
          <w:i/>
        </w:rPr>
        <w:t xml:space="preserve">Consulted first. Every session reads this before building. It holds three things: the one question the project answers, the methodology for grading each branch, and the roadmap of what ships now versus what we build toward. Supersedes the earlier</w:t>
      </w:r>
      <w:r>
        <w:rPr>
          <w:iCs/>
          <w:i/>
        </w:rP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Operation Citizen Spine</w:t>
      </w:r>
      <w:r>
        <w:rPr>
          <w:iCs/>
          <w:i/>
        </w:rPr>
        <w:t xml:space="preserve">”</w:t>
      </w:r>
      <w:r>
        <w:rPr>
          <w:iCs/>
          <w:i/>
        </w:rPr>
        <w:t xml:space="preserve"> </w:t>
      </w:r>
      <w:r>
        <w:rPr>
          <w:iCs/>
          <w:i/>
        </w:rPr>
        <w:t xml:space="preserve">draft.</w:t>
      </w:r>
    </w:p>
    <w:p>
      <w:r>
        <w:pict>
          <v:rect style="width:0;height:1.5pt" o:hralign="center" o:hrstd="t" o:hr="t"/>
        </w:pict>
      </w:r>
    </w:p>
    <w:bookmarkStart w:id="20" w:name="part-i-the-one-question"/>
    <w:p>
      <w:pPr>
        <w:pStyle w:val="Heading2"/>
      </w:pPr>
      <w:r>
        <w:t xml:space="preserve">PART I — THE ONE QUESTION</w:t>
      </w:r>
    </w:p>
    <w:p>
      <w:pPr>
        <w:pStyle w:val="FirstParagraph"/>
      </w:pPr>
      <w:r>
        <w:rPr>
          <w:bCs/>
          <w:b/>
        </w:rPr>
        <w:t xml:space="preserve">We the People is the ground.</w:t>
      </w:r>
      <w:r>
        <w:t xml:space="preserve"> </w:t>
      </w:r>
      <w:r>
        <w:t xml:space="preserve">The Constitution is the supreme law of the land, and no one — not even the President — is above it. Government exists for the people.</w:t>
      </w:r>
    </w:p>
    <w:p>
      <w:pPr>
        <w:pStyle w:val="BodyText"/>
      </w:pPr>
      <w:r>
        <w:rPr>
          <w:bCs/>
          <w:b/>
        </w:rPr>
        <w:t xml:space="preserve">The book argues; the apps make it real.</w:t>
      </w:r>
      <w:r>
        <w:t xml:space="preserve"> </w:t>
      </w:r>
      <w:r>
        <w:rPr>
          <w:iCs/>
          <w:i/>
        </w:rPr>
        <w:t xml:space="preserve">The Quiet Collapse</w:t>
      </w:r>
      <w:r>
        <w:t xml:space="preserve"> </w:t>
      </w:r>
      <w:r>
        <w:t xml:space="preserve">carries the argument. The apps don’t re-argue it — they make it real in</w:t>
      </w:r>
      <w:r>
        <w:t xml:space="preserve"> </w:t>
      </w:r>
      <w:r>
        <w:rPr>
          <w:bCs/>
          <w:b/>
        </w:rPr>
        <w:t xml:space="preserve">real dollars, real time</w:t>
      </w:r>
      <w:r>
        <w:t xml:space="preserve">: here’s the money, here’s who it reached, here’s what didn’t reach you, right now.</w:t>
      </w:r>
    </w:p>
    <w:p>
      <w:pPr>
        <w:pStyle w:val="BodyText"/>
      </w:pPr>
      <w:r>
        <w:rPr>
          <w:bCs/>
          <w:b/>
        </w:rPr>
        <w:t xml:space="preserve">The representation frame — the project’s reason for being.</w:t>
      </w:r>
      <w:r>
        <w:t xml:space="preserve"> </w:t>
      </w:r>
      <w:r>
        <w:t xml:space="preserve">“</w:t>
      </w:r>
      <w:r>
        <w:t xml:space="preserve">Who is government working for?</w:t>
      </w:r>
      <w:r>
        <w:t xml:space="preserve">”</w:t>
      </w:r>
      <w:r>
        <w:t xml:space="preserve"> </w:t>
      </w:r>
      <w:r>
        <w:rPr>
          <w:iCs/>
          <w:i/>
        </w:rPr>
        <w:t xml:space="preserve">is</w:t>
      </w:r>
      <w:r>
        <w:t xml:space="preserve"> </w:t>
      </w:r>
      <w:r>
        <w:t xml:space="preserve">the question</w:t>
      </w:r>
      <w:r>
        <w:t xml:space="preserve"> </w:t>
      </w:r>
      <w:r>
        <w:t xml:space="preserve">“</w:t>
      </w:r>
      <w:r>
        <w:t xml:space="preserve">who is government</w:t>
      </w:r>
      <w:r>
        <w:t xml:space="preserve"> </w:t>
      </w:r>
      <w:r>
        <w:rPr>
          <w:bCs/>
          <w:b/>
        </w:rPr>
        <w:t xml:space="preserve">representing</w:t>
      </w:r>
      <w:r>
        <w:t xml:space="preserve">?</w:t>
      </w:r>
      <w:r>
        <w:t xml:space="preserve">”</w:t>
      </w:r>
      <w:r>
        <w:t xml:space="preserve"> </w:t>
      </w:r>
      <w:r>
        <w:t xml:space="preserve">The capital-vs-citizen ruler — the terminal-beneficiary gate, R8, every score — is the</w:t>
      </w:r>
      <w:r>
        <w:t xml:space="preserve"> </w:t>
      </w:r>
      <w:r>
        <w:rPr>
          <w:bCs/>
          <w:b/>
        </w:rPr>
        <w:t xml:space="preserve">measurement of representation</w:t>
      </w:r>
      <w:r>
        <w:t xml:space="preserve">. Congress is the branch where representation is</w:t>
      </w:r>
      <w:r>
        <w:t xml:space="preserve"> </w:t>
      </w:r>
      <w:r>
        <w:rPr>
          <w:iCs/>
          <w:i/>
        </w:rPr>
        <w:t xml:space="preserve">literal</w:t>
      </w:r>
      <w:r>
        <w:t xml:space="preserve"> </w:t>
      </w:r>
      <w:r>
        <w:t xml:space="preserve">(Article I: it exists to represent the people and the states); across all three branches it is</w:t>
      </w:r>
      <w:r>
        <w:t xml:space="preserve"> </w:t>
      </w:r>
      <w:r>
        <w:t xml:space="preserve">“</w:t>
      </w:r>
      <w:r>
        <w:t xml:space="preserve">who does government serve — capital, or the people it is constituted for.</w:t>
      </w:r>
      <w:r>
        <w:t xml:space="preserve">”</w:t>
      </w:r>
      <w:r>
        <w:t xml:space="preserve"> </w:t>
      </w:r>
      <w:r>
        <w:t xml:space="preserve">This is the constitutional ground beneath the whole capital-vs-citizen project: not a values lens, but a test of whether the people’s government still belongs to the people.</w:t>
      </w:r>
    </w:p>
    <w:p>
      <w:pPr>
        <w:pStyle w:val="BodyText"/>
      </w:pPr>
      <w:r>
        <w:rPr>
          <w:bCs/>
          <w:b/>
        </w:rPr>
        <w:t xml:space="preserve">The reader judges; we never rank.</w:t>
      </w:r>
      <w:r>
        <w:t xml:space="preserve"> </w:t>
      </w:r>
      <w:r>
        <w:t xml:space="preserve">We present what was measured and the result, plainly and with weight. How egregious any failure is — that is the reader’s call, and the book’s. The apps make the finding impossible to miss; they never tell the reader how to score it.</w:t>
      </w:r>
    </w:p>
    <w:p>
      <w:r>
        <w:pict>
          <v:rect style="width:0;height:1.5pt" o:hralign="center" o:hrstd="t" o:hr="t"/>
        </w:pict>
      </w:r>
    </w:p>
    <w:bookmarkEnd w:id="20"/>
    <w:bookmarkStart w:id="23" w:name="part-ii-the-audit-methodology"/>
    <w:p>
      <w:pPr>
        <w:pStyle w:val="Heading2"/>
      </w:pPr>
      <w:r>
        <w:t xml:space="preserve">PART II — THE AUDIT METHODOLOGY</w:t>
      </w:r>
    </w:p>
    <w:p>
      <w:pPr>
        <w:pStyle w:val="FirstParagraph"/>
      </w:pPr>
      <w:r>
        <w:t xml:space="preserve">Grade each branch against the article that governs it, keeping four concepts separate: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Constitutional Duties</w:t>
      </w:r>
      <w:r>
        <w:t xml:space="preserve"> </w:t>
      </w:r>
      <w:r>
        <w:t xml:space="preserve">— what the Constitution requires.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Institutional Responsibilities</w:t>
      </w:r>
      <w:r>
        <w:t xml:space="preserve"> </w:t>
      </w:r>
      <w:r>
        <w:t xml:space="preserve">— what the branch must do to fulfill those duties.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Performance Measures</w:t>
      </w:r>
      <w:r>
        <w:t xml:space="preserve"> </w:t>
      </w:r>
      <w:r>
        <w:t xml:space="preserve">— observable, countable evidence the duties are met.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Failure Modes</w:t>
      </w:r>
      <w:r>
        <w:t xml:space="preserve"> </w:t>
      </w:r>
      <w:r>
        <w:t xml:space="preserve">— how a branch fails</w:t>
      </w:r>
      <w:r>
        <w:t xml:space="preserve"> </w:t>
      </w:r>
      <w:r>
        <w:rPr>
          <w:iCs/>
          <w:i/>
        </w:rPr>
        <w:t xml:space="preserve">even while acting within its powers</w:t>
      </w:r>
      <w:r>
        <w:t xml:space="preserve"> </w:t>
      </w:r>
      <w:r>
        <w:t xml:space="preserve">(legal per instance, corrosive in aggregate). This is the most valuable category.</w:t>
      </w:r>
    </w:p>
    <w:p>
      <w:pPr>
        <w:pStyle w:val="FirstParagraph"/>
      </w:pPr>
      <w:r>
        <w:rPr>
          <w:bCs/>
          <w:b/>
        </w:rPr>
        <w:t xml:space="preserve">The two axes (the organizing principle).</w:t>
      </w:r>
      <w:r>
        <w:t xml:space="preserve"> </w:t>
      </w:r>
      <w:r>
        <w:t xml:space="preserve">Every branch is graded on two questions: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Constitutional Authority</w:t>
      </w:r>
      <w:r>
        <w:t xml:space="preserve"> </w:t>
      </w:r>
      <w:r>
        <w:t xml:space="preserve">— did it act within the powers granted, and do its assigned duties?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Constitutional Stewardship</w:t>
      </w:r>
      <w:r>
        <w:t xml:space="preserve"> </w:t>
      </w:r>
      <w:r>
        <w:t xml:space="preserve">— did it preserve the constitutional system for the future, or erode it? (Stewardship = the durability spine: durable-by-consent vs. reversible-by-fiat;</w:t>
      </w:r>
      <w:r>
        <w:t xml:space="preserve"> </w:t>
      </w:r>
      <w:r>
        <w:t xml:space="preserve">“</w:t>
      </w:r>
      <w:r>
        <w:t xml:space="preserve">to ourselves and our Posterity.</w:t>
      </w:r>
      <w:r>
        <w:t xml:space="preserve">”</w:t>
      </w:r>
      <w:r>
        <w:t xml:space="preserve">)</w:t>
      </w:r>
    </w:p>
    <w:p>
      <w:pPr>
        <w:pStyle w:val="FirstParagraph"/>
      </w:pPr>
      <w:r>
        <w:t xml:space="preserve">A branch can pass Authority on each individual act and still fail Stewardship — omnibus replacing deliberation, executive legislation, the shadow docket replacing reasoned opinions. That gap is where the architecture comes apart.</w:t>
      </w:r>
    </w:p>
    <w:bookmarkStart w:id="21" w:name="the-three-verdicts-graded-on-both-axes"/>
    <w:p>
      <w:pPr>
        <w:pStyle w:val="Heading3"/>
      </w:pPr>
      <w:r>
        <w:t xml:space="preserve">The three verdicts (graded on both axes)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Congress — Article I — the representative institution. Verdict: ABDICATION + REDIRECTION.</w:t>
      </w:r>
      <w:r>
        <w:t xml:space="preserve"> </w:t>
      </w:r>
      <w:r>
        <w:t xml:space="preserve">It did not use its power for the people (buried the citizen agenda), and where it</w:t>
      </w:r>
      <w:r>
        <w:t xml:space="preserve"> </w:t>
      </w:r>
      <w:r>
        <w:rPr>
          <w:iCs/>
          <w:i/>
        </w:rPr>
        <w:t xml:space="preserve">did</w:t>
      </w:r>
      <w:r>
        <w:t xml:space="preserve"> </w:t>
      </w:r>
      <w:r>
        <w:t xml:space="preserve">act it served capital (23 CRAs, all capital). The representative institution stopped representing.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Executive — Article II — faithful execution, not lawmaking. Verdict: EXCESS + CAPITAL-SERVICE.</w:t>
      </w:r>
      <w:r>
        <w:t xml:space="preserve"> </w:t>
      </w:r>
      <w:r>
        <w:t xml:space="preserve">It made law by directive (the nine unconstitutional actions), and spent the power on capital (the agency-rule rollbacks).</w:t>
      </w:r>
      <w:r>
        <w:t xml:space="preserve"> </w:t>
      </w:r>
      <w:r>
        <w:rPr>
          <w:bCs/>
          <w:b/>
        </w:rPr>
        <w:t xml:space="preserve">Self-naming is part of this, as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ultra vires</w:t>
      </w:r>
      <w:r>
        <w:rPr>
          <w:bCs/>
          <w:b/>
        </w:rPr>
        <w:t xml:space="preserve">:</w:t>
      </w:r>
      <w:r>
        <w:t xml:space="preserve"> </w:t>
      </w:r>
      <w:r>
        <w:t xml:space="preserve">Article II grants no power to name federal property or design currency — those are Congress’s (Article I coinage and naming powers) — so the renamings are the executive exercising powers it doesn’t have, and the $1 coin bearing his living face appears to breach</w:t>
      </w:r>
      <w:r>
        <w:t xml:space="preserve"> </w:t>
      </w:r>
      <w:r>
        <w:rPr>
          <w:bCs/>
          <w:b/>
        </w:rPr>
        <w:t xml:space="preserve">31 U.S.C. § 5114</w:t>
      </w:r>
      <w:r>
        <w:t xml:space="preserve"> </w:t>
      </w:r>
      <w:r>
        <w:t xml:space="preserve">(only a</w:t>
      </w:r>
      <w:r>
        <w:t xml:space="preserve"> </w:t>
      </w:r>
      <w:r>
        <w:rPr>
          <w:iCs/>
          <w:i/>
        </w:rPr>
        <w:t xml:space="preserve">deceased</w:t>
      </w:r>
      <w:r>
        <w:t xml:space="preserve"> </w:t>
      </w:r>
      <w:r>
        <w:t xml:space="preserve">individual’s portrait may appear on U.S. currency/securities). Not a</w:t>
      </w:r>
      <w:r>
        <w:t xml:space="preserve"> </w:t>
      </w:r>
      <w:r>
        <w:t xml:space="preserve">“</w:t>
      </w:r>
      <w:r>
        <w:t xml:space="preserve">vanity</w:t>
      </w:r>
      <w:r>
        <w:t xml:space="preserve">”</w:t>
      </w:r>
      <w:r>
        <w:t xml:space="preserve"> </w:t>
      </w:r>
      <w:r>
        <w:t xml:space="preserve">sidebar — an authority violation.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Courts — Article III — the check + stability. Verdict: FAILED.</w:t>
      </w:r>
      <w:r>
        <w:t xml:space="preserve"> </w:t>
      </w:r>
      <w:r>
        <w:t xml:space="preserve">Of nine executive actions a lower court ruled unconstitutional, the Supreme Court upheld</w:t>
      </w:r>
      <w:r>
        <w:t xml:space="preserve"> </w:t>
      </w:r>
      <w:r>
        <w:rPr>
          <w:bCs/>
          <w:b/>
        </w:rPr>
        <w:t xml:space="preserve">zero</w:t>
      </w:r>
      <w:r>
        <w:t xml:space="preserve"> </w:t>
      </w:r>
      <w:r>
        <w:t xml:space="preserve">— it lifted every block (the</w:t>
      </w:r>
      <w:r>
        <w:t xml:space="preserve"> </w:t>
      </w:r>
      <w:r>
        <w:t xml:space="preserve">“</w:t>
      </w:r>
      <w:r>
        <w:t xml:space="preserve">pass</w:t>
      </w:r>
      <w:r>
        <w:t xml:space="preserve">”</w:t>
      </w:r>
      <w:r>
        <w:t xml:space="preserve">), mostly with no reasoned opinion; and it overturned three precedents of 40–91 years. And a court cannot enforce its own rulings anyway (Federalist 78 —</w:t>
      </w:r>
      <w:r>
        <w:t xml:space="preserve"> </w:t>
      </w:r>
      <w:r>
        <w:t xml:space="preserve">“</w:t>
      </w:r>
      <w:r>
        <w:t xml:space="preserve">neither force nor will</w:t>
      </w:r>
      <w:r>
        <w:t xml:space="preserve">”</w:t>
      </w:r>
      <w:r>
        <w:t xml:space="preserve">); the only backstop was Congress, which has gone quiet.</w:t>
      </w:r>
    </w:p>
    <w:bookmarkEnd w:id="21"/>
    <w:bookmarkStart w:id="22" w:name="Xc4be201ade88913a4cefcdcf90252d5988d687f"/>
    <w:p>
      <w:pPr>
        <w:pStyle w:val="Heading3"/>
      </w:pPr>
      <w:r>
        <w:t xml:space="preserve">The naming/branding items — three lanes, kept apart (honesty guard)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Authority violation</w:t>
      </w:r>
      <w:r>
        <w:t xml:space="preserve"> </w:t>
      </w:r>
      <w:r>
        <w:t xml:space="preserve">(folds into the Executive panel): self-naming — currency signature, coin, parks pass, banners, USIP, ship class, TrumpRx/TrumpIRA. Outside Article II; some (the coin) break statute.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Narrative control:</w:t>
      </w:r>
      <w:r>
        <w:t xml:space="preserve"> </w:t>
      </w:r>
      <w:r>
        <w:t xml:space="preserve">the Smithsonian EO (routes NPS signage around a Congress-created independent trust), the DEI orders.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Self-enrichment:</w:t>
      </w:r>
      <w:r>
        <w:t xml:space="preserve"> </w:t>
      </w:r>
      <w:r>
        <w:t xml:space="preserve">the crypto — the $TRUMP coin, World Liberty Financial. The heaviest, because it isn’t optics — it lands back on the</w:t>
      </w:r>
      <w:r>
        <w:t xml:space="preserve"> </w:t>
      </w:r>
      <w:r>
        <w:rPr>
          <w:iCs/>
          <w:i/>
        </w:rPr>
        <w:t xml:space="preserve">money</w:t>
      </w:r>
      <w:r>
        <w:t xml:space="preserve"> </w:t>
      </w:r>
      <w:r>
        <w:t xml:space="preserve">ruler (conflict of interest, self-dealing). Never lump this with a park sticker.</w:t>
      </w:r>
    </w:p>
    <w:p>
      <w:r>
        <w:pict>
          <v:rect style="width:0;height:1.5pt" o:hralign="center" o:hrstd="t" o:hr="t"/>
        </w:pict>
      </w:r>
    </w:p>
    <w:bookmarkEnd w:id="22"/>
    <w:bookmarkEnd w:id="23"/>
    <w:bookmarkStart w:id="26" w:name="X531c188ff3e152cd67fea4e258a5a182f419583"/>
    <w:p>
      <w:pPr>
        <w:pStyle w:val="Heading2"/>
      </w:pPr>
      <w:r>
        <w:t xml:space="preserve">PART III — NOW vs. TARGET (the build roadmap)</w:t>
      </w:r>
    </w:p>
    <w:p>
      <w:pPr>
        <w:pStyle w:val="FirstParagraph"/>
      </w:pPr>
      <w:r>
        <w:rPr>
          <w:bCs/>
          <w:b/>
        </w:rPr>
        <w:t xml:space="preserve">The dividing rule:</w:t>
      </w:r>
      <w:r>
        <w:t xml:space="preserve"> </w:t>
      </w:r>
      <w:r>
        <w:t xml:space="preserve">if it connects to</w:t>
      </w:r>
      <w:r>
        <w:t xml:space="preserve"> </w:t>
      </w:r>
      <w:r>
        <w:rPr>
          <w:iCs/>
          <w:i/>
        </w:rPr>
        <w:t xml:space="preserve">who government serves</w:t>
      </w:r>
      <w:r>
        <w:t xml:space="preserve"> </w:t>
      </w:r>
      <w:r>
        <w:t xml:space="preserve">and we have the data, it ships now. If it needs a data pull we haven’t made, or it can’t be scored without a judgment call, it’s the roadmap — shown to the reader as</w:t>
      </w:r>
      <w:r>
        <w:t xml:space="preserve"> </w:t>
      </w:r>
      <w:r>
        <w:t xml:space="preserve">“</w:t>
      </w:r>
      <w:r>
        <w:t xml:space="preserve">measured next,</w:t>
      </w:r>
      <w:r>
        <w:t xml:space="preserve">”</w:t>
      </w:r>
      <w:r>
        <w:t xml:space="preserve"> </w:t>
      </w:r>
      <w:r>
        <w:t xml:space="preserve">never faked as measured today.</w:t>
      </w:r>
    </w:p>
    <w:bookmarkStart w:id="24" w:name="doable-now-ships-v1-all-verified"/>
    <w:p>
      <w:pPr>
        <w:pStyle w:val="Heading3"/>
      </w:pPr>
      <w:r>
        <w:t xml:space="preserve">Doable now (ships v1 — all verified)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Representation (the core):</w:t>
      </w:r>
      <w:r>
        <w:t xml:space="preserve"> </w:t>
      </w:r>
      <w:r>
        <w:t xml:space="preserve">enacted record scored capital-vs-citizen (the gate); the 23 CRAs, all capital; the buried citizen agenda (0 of 14 wage bills, 0 on monopoly); the first tranche of ~49 agency rules, all capital.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Authority:</w:t>
      </w:r>
      <w:r>
        <w:t xml:space="preserve"> </w:t>
      </w:r>
      <w:r>
        <w:t xml:space="preserve">the nine actions ruled unconstitutional (grounds sourced); the self-naming as</w:t>
      </w:r>
      <w:r>
        <w:t xml:space="preserve"> </w:t>
      </w:r>
      <w:r>
        <w:rPr>
          <w:iCs/>
          <w:i/>
        </w:rPr>
        <w:t xml:space="preserve">ultra vires</w:t>
      </w:r>
      <w:r>
        <w:t xml:space="preserve">; the coin as a likely § 5114 breach.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 check + stability:</w:t>
      </w:r>
      <w:r>
        <w:t xml:space="preserve"> </w:t>
      </w:r>
      <w:r>
        <w:t xml:space="preserve">nine shadow-docket stays (0 upheld, mostly no opinion); three precedent reversals (40–91 yrs).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Stewardship markers:</w:t>
      </w:r>
      <w:r>
        <w:t xml:space="preserve"> </w:t>
      </w:r>
      <w:r>
        <w:t xml:space="preserve">amendment power dormant since 1971; reversibility of the executive’s wins.</w:t>
      </w:r>
    </w:p>
    <w:bookmarkEnd w:id="24"/>
    <w:bookmarkStart w:id="25" w:name="Xadc6344d6f7d47ad8b14009e7471428828cdf42"/>
    <w:p>
      <w:pPr>
        <w:pStyle w:val="Heading3"/>
      </w:pPr>
      <w:r>
        <w:t xml:space="preserve">Future target (marked</w:t>
      </w:r>
      <w:r>
        <w:t xml:space="preserve"> </w:t>
      </w:r>
      <w:r>
        <w:t xml:space="preserve">“</w:t>
      </w:r>
      <w:r>
        <w:t xml:space="preserve">not yet instrumented</w:t>
      </w:r>
      <w:r>
        <w:t xml:space="preserve">”</w:t>
      </w:r>
      <w:r>
        <w:t xml:space="preserve">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Budget Fidelity</w:t>
      </w:r>
      <w:r>
        <w:t xml:space="preserve"> </w:t>
      </w:r>
      <w:r>
        <w:t xml:space="preserve">— % of spending appropriated vs. impounded/unauthorized (Treasury / USASpending / appropriations).</w:t>
      </w:r>
      <w:r>
        <w:t xml:space="preserve"> </w:t>
      </w:r>
      <w:r>
        <w:rPr>
          <w:iCs/>
          <w:i/>
        </w:rPr>
        <w:t xml:space="preserve">First future pull worth doing — measurable and lands on the money question.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Oversight Intensity</w:t>
      </w:r>
      <w:r>
        <w:t xml:space="preserve"> </w:t>
      </w:r>
      <w:r>
        <w:t xml:space="preserve">— hearings, subpoenas, IG reviews (congressional record).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Full rule catalog</w:t>
      </w:r>
      <w:r>
        <w:t xml:space="preserve"> </w:t>
      </w:r>
      <w:r>
        <w:t xml:space="preserve">— beyond 49, out to ~1,491+ across all departments (full Federal Register pull).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Docket-wide Opinion Quality, Timeliness, Accessibility</w:t>
      </w:r>
      <w:r>
        <w:t xml:space="preserve"> </w:t>
      </w:r>
      <w:r>
        <w:t xml:space="preserve">(full docket data).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Administrative Integrity / Operational Competence</w:t>
      </w:r>
      <w:r>
        <w:t xml:space="preserve"> </w:t>
      </w:r>
      <w:r>
        <w:t xml:space="preserve">— procurement, merit staffing, IG independence.</w:t>
      </w:r>
      <w:r>
        <w:t xml:space="preserve"> </w:t>
      </w:r>
      <w:r>
        <w:rPr>
          <w:iCs/>
          <w:i/>
        </w:rPr>
        <w:t xml:space="preserve">Also the hardest to keep objective — hold longest or keep qualitative.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part-iv-app-design-the-format"/>
    <w:p>
      <w:pPr>
        <w:pStyle w:val="Heading2"/>
      </w:pPr>
      <w:r>
        <w:t xml:space="preserve">PART IV — APP DESIGN (the format)</w:t>
      </w:r>
    </w:p>
    <w:p>
      <w:pPr>
        <w:pStyle w:val="FirstParagraph"/>
      </w:pPr>
      <w:r>
        <w:rPr>
          <w:bCs/>
          <w:b/>
        </w:rPr>
        <w:t xml:space="preserve">The interactive template (every panel):</w:t>
      </w:r>
      <w:r>
        <w:t xml:space="preserve"> </w:t>
      </w:r>
      <w:r>
        <w:t xml:space="preserve">bold</w:t>
      </w:r>
      <w:r>
        <w:t xml:space="preserve"> </w:t>
      </w:r>
      <w:r>
        <w:rPr>
          <w:bCs/>
          <w:b/>
        </w:rPr>
        <w:t xml:space="preserve">question</w:t>
      </w:r>
      <w:r>
        <w:t xml:space="preserve"> </w:t>
      </w:r>
      <w:r>
        <w:t xml:space="preserve">→ a</w:t>
      </w:r>
      <w:r>
        <w:t xml:space="preserve"> </w:t>
      </w:r>
      <w:r>
        <w:rPr>
          <w:bCs/>
          <w:b/>
        </w:rPr>
        <w:t xml:space="preserve">metrics box</w:t>
      </w:r>
      <w:r>
        <w:t xml:space="preserve"> </w:t>
      </w:r>
      <w:r>
        <w:t xml:space="preserve">at the top, visible (The standard · the Article; How we measured · the test(s); Result · pass/fail) so the reader sees</w:t>
      </w:r>
      <w:r>
        <w:t xml:space="preserve"> </w:t>
      </w:r>
      <w:r>
        <w:rPr>
          <w:iCs/>
          <w:i/>
        </w:rPr>
        <w:t xml:space="preserve">what was measured and why the rating</w:t>
      </w:r>
      <w:r>
        <w:t xml:space="preserve"> </w:t>
      </w:r>
      <w:r>
        <w:t xml:space="preserve">→ one line of</w:t>
      </w:r>
      <w:r>
        <w:t xml:space="preserve"> </w:t>
      </w:r>
      <w:r>
        <w:rPr>
          <w:bCs/>
          <w:b/>
        </w:rPr>
        <w:t xml:space="preserve">what it means for you</w:t>
      </w:r>
      <w:r>
        <w:t xml:space="preserve"> </w:t>
      </w:r>
      <w:r>
        <w:t xml:space="preserve">→</w:t>
      </w:r>
      <w:r>
        <w:t xml:space="preserve"> </w:t>
      </w:r>
      <w:r>
        <w:rPr>
          <w:bCs/>
          <w:b/>
        </w:rPr>
        <w:t xml:space="preserve">tap to drill</w:t>
      </w:r>
      <w:r>
        <w:t xml:space="preserve"> </w:t>
      </w:r>
      <w:r>
        <w:t xml:space="preserve">into how it failed → a second tap for the</w:t>
      </w:r>
      <w:r>
        <w:t xml:space="preserve"> </w:t>
      </w:r>
      <w:r>
        <w:rPr>
          <w:bCs/>
          <w:b/>
        </w:rPr>
        <w:t xml:space="preserve">receipts</w:t>
      </w:r>
      <w:r>
        <w:t xml:space="preserve"> </w:t>
      </w:r>
      <w:r>
        <w:t xml:space="preserve">(the cases, the rules, the votes). Meaning-first, plain language (no jargon, no euphemism —</w:t>
      </w:r>
      <w:r>
        <w:t xml:space="preserve"> </w:t>
      </w:r>
      <w:r>
        <w:t xml:space="preserve">“</w:t>
      </w:r>
      <w:r>
        <w:t xml:space="preserve">fired,</w:t>
      </w:r>
      <w:r>
        <w:t xml:space="preserve">”</w:t>
      </w:r>
      <w:r>
        <w:t xml:space="preserve"> </w:t>
      </w:r>
      <w:r>
        <w:t xml:space="preserve">not</w:t>
      </w:r>
      <w:r>
        <w:t xml:space="preserve"> </w:t>
      </w:r>
      <w:r>
        <w:t xml:space="preserve">“</w:t>
      </w:r>
      <w:r>
        <w:t xml:space="preserve">separated</w:t>
      </w:r>
      <w:r>
        <w:t xml:space="preserve">”</w:t>
      </w:r>
      <w:r>
        <w:t xml:space="preserve">), progressive disclosure. Never a wall of data; the surface is nearly empty, the depth is on demand.</w:t>
      </w:r>
    </w:p>
    <w:p>
      <w:pPr>
        <w:pStyle w:val="BodyText"/>
      </w:pPr>
      <w:r>
        <w:rPr>
          <w:bCs/>
          <w:b/>
        </w:rPr>
        <w:t xml:space="preserve">The assembly — one app:</w:t>
      </w:r>
      <w:r>
        <w:t xml:space="preserve"> </w:t>
      </w:r>
      <w:r>
        <w:t xml:space="preserve">the hero is the front door — the master question</w:t>
      </w:r>
      <w:r>
        <w:t xml:space="preserve"> </w:t>
      </w:r>
      <w:r>
        <w:t xml:space="preserve">“</w:t>
      </w:r>
      <w:r>
        <w:t xml:space="preserve">Who is government working for?</w:t>
      </w:r>
      <w:r>
        <w:t xml:space="preserve">”</w:t>
      </w:r>
      <w:r>
        <w:t xml:space="preserve">, the two scoreboards (capital’s S&amp;P line vs the people’s delivered-rights line), and three branch cards each showing its verdict. Tap a branch → its interactive panel opens. A closing lens hands the weight to the reader and points to the way home (the durable door — consent — is still open). Self-contained, portable HTML; works offline.</w:t>
      </w:r>
    </w:p>
    <w:p>
      <w:r>
        <w:pict>
          <v:rect style="width:0;height:1.5pt" o:hralign="center" o:hrstd="t" o:hr="t"/>
        </w:pict>
      </w:r>
    </w:p>
    <w:bookmarkEnd w:id="27"/>
    <w:bookmarkStart w:id="29" w:name="part-v-how-we-work-guards-locked-rules"/>
    <w:p>
      <w:pPr>
        <w:pStyle w:val="Heading2"/>
      </w:pPr>
      <w:r>
        <w:t xml:space="preserve">PART V — HOW WE WORK (guards + locked rules)</w:t>
      </w:r>
    </w:p>
    <w:p>
      <w:pPr>
        <w:pStyle w:val="FirstParagraph"/>
      </w:pPr>
      <w:r>
        <w:rPr>
          <w:bCs/>
          <w:b/>
        </w:rPr>
        <w:t xml:space="preserve">Before building, three guard-questions</w:t>
      </w:r>
      <w:r>
        <w:t xml:space="preserve"> </w:t>
      </w:r>
      <w:r>
        <w:t xml:space="preserve">(stated out loud): Does it serve</w:t>
      </w:r>
      <w:r>
        <w:t xml:space="preserve"> </w:t>
      </w:r>
      <w:r>
        <w:rPr>
          <w:iCs/>
          <w:i/>
        </w:rPr>
        <w:t xml:space="preserve">We the People</w:t>
      </w:r>
      <w:r>
        <w:t xml:space="preserve">? Is it</w:t>
      </w:r>
      <w:r>
        <w:t xml:space="preserve"> </w:t>
      </w:r>
      <w:r>
        <w:rPr>
          <w:iCs/>
          <w:i/>
        </w:rPr>
        <w:t xml:space="preserve">real dollars, real time</w:t>
      </w:r>
      <w:r>
        <w:t xml:space="preserve">? Is it</w:t>
      </w:r>
      <w:r>
        <w:t xml:space="preserve"> </w:t>
      </w:r>
      <w:r>
        <w:rPr>
          <w:iCs/>
          <w:i/>
        </w:rPr>
        <w:t xml:space="preserve">making it real</w:t>
      </w:r>
      <w:r>
        <w:t xml:space="preserve"> </w:t>
      </w:r>
      <w:r>
        <w:t xml:space="preserve">— or re-arguing the book? A move that fails any is dropped.</w:t>
      </w:r>
    </w:p>
    <w:p>
      <w:pPr>
        <w:pStyle w:val="BodyText"/>
      </w:pPr>
      <w:r>
        <w:rPr>
          <w:bCs/>
          <w:b/>
        </w:rPr>
        <w:t xml:space="preserve">Verify from primary sources before anything ships.</w:t>
      </w:r>
      <w:r>
        <w:t xml:space="preserve"> </w:t>
      </w:r>
      <w:r>
        <w:t xml:space="preserve">The EO or statute is the receipt — not a news search, not a list. Anything past the knowledge cutoff is verified, not assumed. The most striking claims get checked hardest.</w:t>
      </w:r>
    </w:p>
    <w:bookmarkStart w:id="28" w:name="locked-rules-grows"/>
    <w:p>
      <w:pPr>
        <w:pStyle w:val="Heading3"/>
      </w:pPr>
      <w:r>
        <w:t xml:space="preserve">Locked rules (grows)</w:t>
      </w:r>
    </w:p>
    <w:p>
      <w:pPr>
        <w:numPr>
          <w:ilvl w:val="0"/>
          <w:numId w:val="1007"/>
        </w:numPr>
        <w:pStyle w:val="Compact"/>
      </w:pPr>
      <w:r>
        <w:t xml:space="preserve">Deliverables come to Thom as</w:t>
      </w:r>
      <w:r>
        <w:t xml:space="preserve"> </w:t>
      </w:r>
      <w:r>
        <w:rPr>
          <w:bCs/>
          <w:b/>
        </w:rPr>
        <w:t xml:space="preserve">Word (.docx)</w:t>
      </w:r>
      <w:r>
        <w:t xml:space="preserve">, not markdown.</w:t>
      </w:r>
    </w:p>
    <w:p>
      <w:pPr>
        <w:numPr>
          <w:ilvl w:val="0"/>
          <w:numId w:val="1007"/>
        </w:numPr>
        <w:pStyle w:val="Compact"/>
      </w:pPr>
      <w:r>
        <w:t xml:space="preserve">The R8 vet is</w:t>
      </w:r>
      <w:r>
        <w:t xml:space="preserve"> </w:t>
      </w:r>
      <w:r>
        <w:rPr>
          <w:bCs/>
          <w:b/>
        </w:rPr>
        <w:t xml:space="preserve">closed and codified</w:t>
      </w:r>
      <w:r>
        <w:t xml:space="preserve"> </w:t>
      </w:r>
      <w:r>
        <w:t xml:space="preserve">(intent + action). No re-vetting.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The apps make it real; the book argues.</w:t>
      </w:r>
      <w:r>
        <w:t xml:space="preserve"> </w:t>
      </w:r>
      <w:r>
        <w:t xml:space="preserve">Don’t re-argue the book.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Capital-vs-citizen is the representation test</w:t>
      </w:r>
      <w:r>
        <w:t xml:space="preserve"> </w:t>
      </w:r>
      <w:r>
        <w:t xml:space="preserve">— the measure of whether government still represents its people.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Grade each branch on two axes</w:t>
      </w:r>
      <w:r>
        <w:t xml:space="preserve"> </w:t>
      </w:r>
      <w:r>
        <w:t xml:space="preserve">— Constitutional Authority + Constitutional Stewardship.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Present, don’t rank.</w:t>
      </w:r>
      <w:r>
        <w:t xml:space="preserve"> </w:t>
      </w:r>
      <w:r>
        <w:t xml:space="preserve">Severity is the reader’s.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Self-naming is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ultra vires</w:t>
      </w:r>
      <w:r>
        <w:rPr>
          <w:bCs/>
          <w:b/>
        </w:rPr>
        <w:t xml:space="preserve">, not optics</w:t>
      </w:r>
      <w:r>
        <w:t xml:space="preserve"> </w:t>
      </w:r>
      <w:r>
        <w:t xml:space="preserve">— an authority violation; the coin breaches § 5114.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This doc is consulted first, every session.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Root: is the people’s government still representing the people — or capital? Everything else is a view onto that.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2026-07-26T19:50:08Z</dcterms:created>
  <dcterms:modified xsi:type="dcterms:W3CDTF">2026-07-26T19:50:08Z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